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493E" w14:textId="77777777" w:rsidR="00A05DF9" w:rsidRDefault="00A05DF9" w:rsidP="004B40CC">
      <w:pPr>
        <w:spacing w:after="160"/>
      </w:pPr>
      <w:r>
        <w:rPr>
          <w:color w:val="4472C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THIRD PARTY TEMPERATURE MONITORS</w:t>
      </w:r>
    </w:p>
    <w:p w14:paraId="7E79CB3A" w14:textId="77777777" w:rsidR="00A05DF9" w:rsidRDefault="00A05DF9" w:rsidP="004B40CC">
      <w:pPr>
        <w:spacing w:after="160"/>
      </w:pPr>
    </w:p>
    <w:p w14:paraId="21766C14" w14:textId="77777777" w:rsidR="000251A4" w:rsidRDefault="00A05DF9" w:rsidP="004B40CC">
      <w:pPr>
        <w:spacing w:after="160" w:line="252" w:lineRule="auto"/>
      </w:pPr>
      <w:r>
        <w:t>Follett medical</w:t>
      </w:r>
      <w:r w:rsidR="000251A4">
        <w:t>-</w:t>
      </w:r>
      <w:r>
        <w:t>grade refrigerators and freezers are designed to maintain precise temperature control</w:t>
      </w:r>
      <w:r w:rsidR="000251A4">
        <w:t xml:space="preserve"> of pharmaceuticals, vaccines, blood, mother’s milk, and other valuable medical products</w:t>
      </w:r>
      <w:r>
        <w:t xml:space="preserve">. The forced air refrigeration delivers consistent temperatures and quick recovery after </w:t>
      </w:r>
      <w:r w:rsidR="000251A4">
        <w:t xml:space="preserve">multiple </w:t>
      </w:r>
      <w:r>
        <w:t>door openings</w:t>
      </w:r>
      <w:r w:rsidR="000251A4">
        <w:t xml:space="preserve"> in the most demanding applications</w:t>
      </w:r>
      <w:r w:rsidRPr="00A05DF9">
        <w:t xml:space="preserve">. </w:t>
      </w:r>
      <w:r w:rsidR="000251A4">
        <w:t xml:space="preserve">These refrigerators and freezers have a temperature monitoring and control system that </w:t>
      </w:r>
      <w:r w:rsidR="00F013B4">
        <w:t xml:space="preserve">is </w:t>
      </w:r>
      <w:r w:rsidR="000251A4">
        <w:t>designed to maintain a precise temperature throughout the entire cabinet.  This document discuss</w:t>
      </w:r>
      <w:r w:rsidR="00082708">
        <w:t>es</w:t>
      </w:r>
      <w:r w:rsidR="000251A4">
        <w:t xml:space="preserve"> </w:t>
      </w:r>
      <w:r w:rsidR="008357CF">
        <w:t xml:space="preserve">use of </w:t>
      </w:r>
      <w:r w:rsidR="000251A4">
        <w:t>third</w:t>
      </w:r>
      <w:r w:rsidR="00F013B4">
        <w:t>-</w:t>
      </w:r>
      <w:r w:rsidR="000251A4">
        <w:t>party temperature monitoring systems in conjunction with Follett refrigerators and provide</w:t>
      </w:r>
      <w:r w:rsidR="00387BED">
        <w:t>s</w:t>
      </w:r>
      <w:r w:rsidR="000251A4">
        <w:t xml:space="preserve"> insights on how to handle inconsistencies</w:t>
      </w:r>
      <w:r w:rsidR="00082708">
        <w:t xml:space="preserve"> that may occur between the </w:t>
      </w:r>
      <w:r w:rsidR="00082708" w:rsidRPr="00555C84">
        <w:t xml:space="preserve">two </w:t>
      </w:r>
      <w:r w:rsidR="00A9422A" w:rsidRPr="00387BED">
        <w:t>temperature monitoring</w:t>
      </w:r>
      <w:r w:rsidR="00A9422A" w:rsidRPr="00555C84">
        <w:t xml:space="preserve"> </w:t>
      </w:r>
      <w:r w:rsidR="00082708" w:rsidRPr="00555C84">
        <w:t>systems</w:t>
      </w:r>
      <w:r w:rsidR="000251A4">
        <w:t>.</w:t>
      </w:r>
    </w:p>
    <w:p w14:paraId="571D066B" w14:textId="0C3DCDEB" w:rsidR="00A05DF9" w:rsidRDefault="00733324" w:rsidP="004B40CC">
      <w:pPr>
        <w:spacing w:after="160"/>
      </w:pPr>
      <w:r>
        <w:t xml:space="preserve">When monitoring temperatures inside a refrigerator or freezer, </w:t>
      </w:r>
      <w:r w:rsidR="00F013B4">
        <w:t>a temperature pro</w:t>
      </w:r>
      <w:r w:rsidR="00874D28">
        <w:t>b</w:t>
      </w:r>
      <w:r w:rsidR="00F013B4">
        <w:t xml:space="preserve">e is placed in </w:t>
      </w:r>
      <w:r>
        <w:t>a buffering material (usually</w:t>
      </w:r>
      <w:r w:rsidR="00F86AC8">
        <w:t xml:space="preserve"> a</w:t>
      </w:r>
      <w:r>
        <w:t xml:space="preserve"> </w:t>
      </w:r>
      <w:proofErr w:type="spellStart"/>
      <w:r>
        <w:t>glycerine</w:t>
      </w:r>
      <w:proofErr w:type="spellEnd"/>
      <w:r w:rsidR="00F86AC8">
        <w:t>-water mixture</w:t>
      </w:r>
      <w:r>
        <w:t xml:space="preserve">) </w:t>
      </w:r>
      <w:r w:rsidR="00F013B4">
        <w:t xml:space="preserve">that </w:t>
      </w:r>
      <w:r>
        <w:t>simulate</w:t>
      </w:r>
      <w:r w:rsidR="00874D28">
        <w:t>s</w:t>
      </w:r>
      <w:r>
        <w:t xml:space="preserve"> the mass of the product to be stored in the unit.  T</w:t>
      </w:r>
      <w:r w:rsidR="00082708">
        <w:t xml:space="preserve">he location and </w:t>
      </w:r>
      <w:r w:rsidR="00F86AC8">
        <w:t>volume</w:t>
      </w:r>
      <w:r w:rsidR="00082708">
        <w:t xml:space="preserve"> of the</w:t>
      </w:r>
      <w:r>
        <w:t xml:space="preserve"> buffering material</w:t>
      </w:r>
      <w:r w:rsidR="00082708">
        <w:t xml:space="preserve"> will impact the recorded temperature shown on </w:t>
      </w:r>
      <w:r>
        <w:t>a</w:t>
      </w:r>
      <w:r w:rsidR="00082708">
        <w:t xml:space="preserve"> display</w:t>
      </w:r>
      <w:r>
        <w:t xml:space="preserve">. </w:t>
      </w:r>
      <w:r w:rsidR="00A05DF9" w:rsidRPr="00A05DF9">
        <w:t xml:space="preserve"> Follett</w:t>
      </w:r>
      <w:r w:rsidR="00082708">
        <w:t xml:space="preserve"> </w:t>
      </w:r>
      <w:r w:rsidR="00F013B4">
        <w:t>specifies</w:t>
      </w:r>
      <w:r>
        <w:t xml:space="preserve"> </w:t>
      </w:r>
      <w:r w:rsidR="00F013B4">
        <w:t>appropriate</w:t>
      </w:r>
      <w:r w:rsidR="00F86AC8">
        <w:t xml:space="preserve"> volumes of a </w:t>
      </w:r>
      <w:proofErr w:type="spellStart"/>
      <w:r>
        <w:t>glycerine</w:t>
      </w:r>
      <w:proofErr w:type="spellEnd"/>
      <w:r w:rsidR="00F86AC8">
        <w:t>-water mix</w:t>
      </w:r>
      <w:r>
        <w:t xml:space="preserve"> for buffering</w:t>
      </w:r>
      <w:r w:rsidR="00F86AC8">
        <w:t xml:space="preserve"> in each of its refrigerators and freezers</w:t>
      </w:r>
      <w:r>
        <w:t xml:space="preserve">.  </w:t>
      </w:r>
      <w:r w:rsidR="00F86AC8">
        <w:t>For optimal performance, t</w:t>
      </w:r>
      <w:r>
        <w:t>h</w:t>
      </w:r>
      <w:r w:rsidR="00F86AC8">
        <w:t>e</w:t>
      </w:r>
      <w:r>
        <w:t xml:space="preserve"> </w:t>
      </w:r>
      <w:proofErr w:type="spellStart"/>
      <w:r>
        <w:t>glycerine</w:t>
      </w:r>
      <w:proofErr w:type="spellEnd"/>
      <w:r w:rsidR="00F86AC8">
        <w:t>-water mix</w:t>
      </w:r>
      <w:r>
        <w:t xml:space="preserve"> is placed in a</w:t>
      </w:r>
      <w:r w:rsidR="00A05DF9" w:rsidRPr="00A05DF9">
        <w:t xml:space="preserve"> bottle </w:t>
      </w:r>
      <w:r w:rsidR="00874D28">
        <w:t xml:space="preserve">with the temperature probe and </w:t>
      </w:r>
      <w:r>
        <w:t xml:space="preserve">that </w:t>
      </w:r>
      <w:r w:rsidR="00874D28">
        <w:t xml:space="preserve">bottle </w:t>
      </w:r>
      <w:proofErr w:type="gramStart"/>
      <w:r w:rsidR="00A05DF9" w:rsidRPr="00A05DF9">
        <w:t xml:space="preserve">is </w:t>
      </w:r>
      <w:r w:rsidR="00F86AC8">
        <w:t>located</w:t>
      </w:r>
      <w:r w:rsidR="00A05DF9" w:rsidRPr="00A05DF9">
        <w:t xml:space="preserve"> in</w:t>
      </w:r>
      <w:proofErr w:type="gramEnd"/>
      <w:r w:rsidR="00A05DF9" w:rsidRPr="00A05DF9">
        <w:t xml:space="preserve"> the</w:t>
      </w:r>
      <w:r w:rsidR="00A05DF9">
        <w:t xml:space="preserve"> top front corner</w:t>
      </w:r>
      <w:r w:rsidR="00F86AC8">
        <w:t xml:space="preserve"> of Follett units </w:t>
      </w:r>
      <w:r w:rsidR="003414DE">
        <w:t>b</w:t>
      </w:r>
      <w:r w:rsidR="00F86AC8">
        <w:t>ecause this</w:t>
      </w:r>
      <w:r>
        <w:t xml:space="preserve"> is</w:t>
      </w:r>
      <w:r w:rsidR="000251A4">
        <w:t xml:space="preserve"> the area likely to experience the most temperature fluctuation.</w:t>
      </w:r>
      <w:r w:rsidR="00A9422A">
        <w:t xml:space="preserve"> </w:t>
      </w:r>
      <w:r w:rsidR="00A05DF9">
        <w:t xml:space="preserve">When using a third-party </w:t>
      </w:r>
      <w:r w:rsidR="00874D28">
        <w:t xml:space="preserve">temperature </w:t>
      </w:r>
      <w:r w:rsidR="00A05DF9">
        <w:t xml:space="preserve">monitor with </w:t>
      </w:r>
      <w:r w:rsidR="003A670C">
        <w:t>a Follett</w:t>
      </w:r>
      <w:r w:rsidR="00A05DF9">
        <w:t xml:space="preserve"> </w:t>
      </w:r>
      <w:r w:rsidR="003A670C">
        <w:t>refrigerator or freezer</w:t>
      </w:r>
      <w:r w:rsidR="00A05DF9">
        <w:t>, the temperature</w:t>
      </w:r>
      <w:r>
        <w:t xml:space="preserve"> </w:t>
      </w:r>
      <w:r w:rsidR="00B916CE">
        <w:t xml:space="preserve">display </w:t>
      </w:r>
      <w:r>
        <w:t>from the third</w:t>
      </w:r>
      <w:r w:rsidR="00107A87">
        <w:t>-</w:t>
      </w:r>
      <w:r>
        <w:t xml:space="preserve">party monitor </w:t>
      </w:r>
      <w:r w:rsidR="003A670C">
        <w:t>may</w:t>
      </w:r>
      <w:r w:rsidR="00A05DF9">
        <w:t xml:space="preserve"> not always match that of the </w:t>
      </w:r>
      <w:r>
        <w:t>Follett unit</w:t>
      </w:r>
      <w:r w:rsidR="00B9760F">
        <w:t xml:space="preserve">. Differences </w:t>
      </w:r>
      <w:r w:rsidR="00E766BB">
        <w:t>between</w:t>
      </w:r>
      <w:r w:rsidR="00B9760F">
        <w:t xml:space="preserve"> the temperature reading on the Follett display and the reading on </w:t>
      </w:r>
      <w:r w:rsidR="00E766BB">
        <w:t>the</w:t>
      </w:r>
      <w:r w:rsidR="00B9760F">
        <w:t xml:space="preserve"> third-party monitor </w:t>
      </w:r>
      <w:r w:rsidR="003A670C">
        <w:t xml:space="preserve">do not mean that there is </w:t>
      </w:r>
      <w:r w:rsidR="00B9760F">
        <w:t>an issue with the performance of the Follett unit.  Rather, such differences</w:t>
      </w:r>
      <w:r w:rsidR="00B916CE">
        <w:t xml:space="preserve"> are likely</w:t>
      </w:r>
      <w:r w:rsidR="00B9760F">
        <w:t xml:space="preserve"> caused </w:t>
      </w:r>
      <w:r w:rsidR="000F7C41">
        <w:t xml:space="preserve">by </w:t>
      </w:r>
      <w:r w:rsidR="00E766BB">
        <w:t>one of</w:t>
      </w:r>
      <w:r w:rsidR="00A05DF9">
        <w:t xml:space="preserve"> the following</w:t>
      </w:r>
      <w:r w:rsidR="00107A87">
        <w:t xml:space="preserve"> reasons</w:t>
      </w:r>
      <w:r w:rsidR="00A05DF9">
        <w:t>:</w:t>
      </w:r>
    </w:p>
    <w:p w14:paraId="0F8C17D5" w14:textId="77777777" w:rsidR="00A05DF9" w:rsidRDefault="00B9760F" w:rsidP="004B40CC">
      <w:pPr>
        <w:numPr>
          <w:ilvl w:val="0"/>
          <w:numId w:val="1"/>
        </w:numPr>
        <w:spacing w:after="160" w:line="252" w:lineRule="auto"/>
        <w:contextualSpacing/>
        <w:rPr>
          <w:rFonts w:eastAsia="Times New Roman"/>
        </w:rPr>
      </w:pPr>
      <w:r>
        <w:rPr>
          <w:rFonts w:eastAsia="Times New Roman"/>
        </w:rPr>
        <w:t>Different</w:t>
      </w:r>
      <w:r w:rsidR="00A05DF9">
        <w:rPr>
          <w:rFonts w:eastAsia="Times New Roman"/>
        </w:rPr>
        <w:t xml:space="preserve"> </w:t>
      </w:r>
      <w:r w:rsidR="00F86AC8">
        <w:rPr>
          <w:rFonts w:eastAsia="Times New Roman"/>
        </w:rPr>
        <w:t>volumes/</w:t>
      </w:r>
      <w:r w:rsidR="00A05DF9" w:rsidRPr="00B916CE">
        <w:rPr>
          <w:rFonts w:eastAsia="Times New Roman"/>
        </w:rPr>
        <w:t>mass</w:t>
      </w:r>
      <w:r w:rsidRPr="00B916CE">
        <w:rPr>
          <w:rFonts w:eastAsia="Times New Roman"/>
        </w:rPr>
        <w:t xml:space="preserve">es </w:t>
      </w:r>
      <w:r w:rsidR="00A05DF9" w:rsidRPr="00B9760F">
        <w:rPr>
          <w:rFonts w:eastAsia="Times New Roman"/>
        </w:rPr>
        <w:t>of</w:t>
      </w:r>
      <w:r w:rsidR="00A05DF9">
        <w:rPr>
          <w:rFonts w:eastAsia="Times New Roman"/>
        </w:rPr>
        <w:t xml:space="preserve"> buffering material</w:t>
      </w:r>
      <w:r w:rsidR="00E766BB">
        <w:rPr>
          <w:rFonts w:eastAsia="Times New Roman"/>
        </w:rPr>
        <w:t xml:space="preserve"> </w:t>
      </w:r>
      <w:r>
        <w:rPr>
          <w:rFonts w:eastAsia="Times New Roman"/>
        </w:rPr>
        <w:t xml:space="preserve">(amount of </w:t>
      </w:r>
      <w:proofErr w:type="spellStart"/>
      <w:r>
        <w:rPr>
          <w:rFonts w:eastAsia="Times New Roman"/>
        </w:rPr>
        <w:t>glycerine</w:t>
      </w:r>
      <w:proofErr w:type="spellEnd"/>
      <w:r w:rsidR="00E766BB">
        <w:rPr>
          <w:rFonts w:eastAsia="Times New Roman"/>
        </w:rPr>
        <w:t>-water mix</w:t>
      </w:r>
      <w:r>
        <w:rPr>
          <w:rFonts w:eastAsia="Times New Roman"/>
        </w:rPr>
        <w:t xml:space="preserve"> in the respective </w:t>
      </w:r>
      <w:r w:rsidR="00A05DF9">
        <w:rPr>
          <w:rFonts w:eastAsia="Times New Roman"/>
        </w:rPr>
        <w:t>bottles</w:t>
      </w:r>
      <w:r>
        <w:rPr>
          <w:rFonts w:eastAsia="Times New Roman"/>
        </w:rPr>
        <w:t>)</w:t>
      </w:r>
      <w:r w:rsidR="00A05DF9">
        <w:rPr>
          <w:rFonts w:eastAsia="Times New Roman"/>
        </w:rPr>
        <w:t xml:space="preserve"> </w:t>
      </w:r>
      <w:r w:rsidR="00E766BB">
        <w:rPr>
          <w:rFonts w:eastAsia="Times New Roman"/>
        </w:rPr>
        <w:t>in the two systems.</w:t>
      </w:r>
    </w:p>
    <w:p w14:paraId="0C7AFB82" w14:textId="77777777" w:rsidR="00A05DF9" w:rsidRPr="00B9760F" w:rsidRDefault="00A05DF9" w:rsidP="004B40CC">
      <w:pPr>
        <w:numPr>
          <w:ilvl w:val="0"/>
          <w:numId w:val="1"/>
        </w:numPr>
        <w:spacing w:after="160" w:line="252" w:lineRule="auto"/>
        <w:contextualSpacing/>
        <w:rPr>
          <w:rFonts w:eastAsia="Times New Roman"/>
        </w:rPr>
      </w:pPr>
      <w:r w:rsidRPr="00B916CE">
        <w:rPr>
          <w:rFonts w:eastAsia="Times New Roman"/>
        </w:rPr>
        <w:t>The</w:t>
      </w:r>
      <w:r w:rsidR="00E766BB">
        <w:rPr>
          <w:rFonts w:eastAsia="Times New Roman"/>
        </w:rPr>
        <w:t xml:space="preserve"> ice point calibration of the probes and the</w:t>
      </w:r>
      <w:r w:rsidRPr="00B916CE">
        <w:rPr>
          <w:rFonts w:eastAsia="Times New Roman"/>
        </w:rPr>
        <w:t xml:space="preserve"> accuracy of the third-party monitoring system</w:t>
      </w:r>
      <w:r w:rsidRPr="00B9760F">
        <w:rPr>
          <w:rFonts w:eastAsia="Times New Roman"/>
        </w:rPr>
        <w:t>.</w:t>
      </w:r>
    </w:p>
    <w:p w14:paraId="650F5562" w14:textId="77777777" w:rsidR="00E766BB" w:rsidRDefault="00E766BB" w:rsidP="004B40CC">
      <w:pPr>
        <w:numPr>
          <w:ilvl w:val="0"/>
          <w:numId w:val="1"/>
        </w:numPr>
        <w:spacing w:after="160" w:line="252" w:lineRule="auto"/>
        <w:contextualSpacing/>
        <w:rPr>
          <w:rFonts w:eastAsia="Times New Roman"/>
        </w:rPr>
      </w:pPr>
      <w:r>
        <w:rPr>
          <w:rFonts w:eastAsia="Times New Roman"/>
        </w:rPr>
        <w:t>Different locations of the probes inside the storage compartment.</w:t>
      </w:r>
    </w:p>
    <w:p w14:paraId="184B826C" w14:textId="77777777" w:rsidR="00B9760F" w:rsidRPr="00B916CE" w:rsidRDefault="00B9760F" w:rsidP="004B40CC">
      <w:pPr>
        <w:numPr>
          <w:ilvl w:val="0"/>
          <w:numId w:val="1"/>
        </w:numPr>
        <w:spacing w:after="160" w:line="252" w:lineRule="auto"/>
        <w:contextualSpacing/>
        <w:rPr>
          <w:rFonts w:eastAsia="Times New Roman"/>
        </w:rPr>
      </w:pPr>
      <w:r>
        <w:rPr>
          <w:rFonts w:eastAsia="Times New Roman"/>
        </w:rPr>
        <w:t>N</w:t>
      </w:r>
      <w:r w:rsidR="00A05DF9">
        <w:rPr>
          <w:rFonts w:eastAsia="Times New Roman"/>
        </w:rPr>
        <w:t>ormal tolerance differences</w:t>
      </w:r>
      <w:r w:rsidR="00E766BB">
        <w:rPr>
          <w:rFonts w:eastAsia="Times New Roman"/>
        </w:rPr>
        <w:t xml:space="preserve"> (typically less than 1</w:t>
      </w:r>
      <w:r w:rsidR="00E766BB" w:rsidRPr="00387BED">
        <w:rPr>
          <w:rFonts w:eastAsia="Times New Roman"/>
          <w:vertAlign w:val="superscript"/>
        </w:rPr>
        <w:t>o</w:t>
      </w:r>
      <w:r w:rsidR="00E766BB">
        <w:rPr>
          <w:rFonts w:eastAsia="Times New Roman"/>
        </w:rPr>
        <w:t xml:space="preserve"> C)</w:t>
      </w:r>
      <w:r w:rsidR="00A05DF9">
        <w:rPr>
          <w:rFonts w:eastAsia="Times New Roman"/>
        </w:rPr>
        <w:t xml:space="preserve"> between the probes of the different monitoring systems.</w:t>
      </w:r>
    </w:p>
    <w:p w14:paraId="23D71957" w14:textId="77777777" w:rsidR="003A670C" w:rsidRPr="00A106A7" w:rsidRDefault="003A670C" w:rsidP="004B40CC">
      <w:pPr>
        <w:pStyle w:val="ListParagraph"/>
        <w:ind w:left="0"/>
      </w:pPr>
      <w:r>
        <w:t xml:space="preserve">However, if differences in </w:t>
      </w:r>
      <w:r w:rsidR="00107A87">
        <w:t>temperature displays</w:t>
      </w:r>
      <w:r>
        <w:t xml:space="preserve"> between the two systems is of concern, </w:t>
      </w:r>
      <w:r w:rsidRPr="00A106A7">
        <w:t>the</w:t>
      </w:r>
      <w:r w:rsidR="00107A87">
        <w:t xml:space="preserve"> following</w:t>
      </w:r>
      <w:r w:rsidRPr="00A106A7">
        <w:t xml:space="preserve"> are </w:t>
      </w:r>
      <w:r>
        <w:t>some</w:t>
      </w:r>
      <w:r w:rsidRPr="00A106A7">
        <w:t xml:space="preserve"> steps that can be taken</w:t>
      </w:r>
      <w:r w:rsidRPr="0028746A">
        <w:t xml:space="preserve"> </w:t>
      </w:r>
      <w:r>
        <w:t>t</w:t>
      </w:r>
      <w:r w:rsidRPr="00A106A7">
        <w:t>o mitigate th</w:t>
      </w:r>
      <w:r w:rsidR="00107A87">
        <w:t>is issue</w:t>
      </w:r>
      <w:r w:rsidRPr="00A106A7">
        <w:t>:</w:t>
      </w:r>
    </w:p>
    <w:p w14:paraId="0DF3E99D" w14:textId="77777777" w:rsidR="00107A87" w:rsidRPr="00107A87" w:rsidRDefault="00E766BB" w:rsidP="005C6DF2">
      <w:pPr>
        <w:numPr>
          <w:ilvl w:val="0"/>
          <w:numId w:val="4"/>
        </w:numPr>
        <w:spacing w:after="160" w:line="252" w:lineRule="auto"/>
        <w:contextualSpacing/>
      </w:pPr>
      <w:r w:rsidRPr="00107A87">
        <w:rPr>
          <w:rFonts w:eastAsia="Times New Roman"/>
        </w:rPr>
        <w:t>Put the Follett controls “to sleep” (crescent moon icon button on the controls) and rely solely on the third-party device</w:t>
      </w:r>
      <w:r w:rsidR="00107A87">
        <w:rPr>
          <w:rFonts w:eastAsia="Times New Roman"/>
        </w:rPr>
        <w:t xml:space="preserve"> for displaying temperature</w:t>
      </w:r>
      <w:r w:rsidRPr="00107A87">
        <w:rPr>
          <w:rFonts w:eastAsia="Times New Roman"/>
        </w:rPr>
        <w:t>.  The Follett unit will still provide alarms if the unit exceeds any limits as measured by the Follett probes</w:t>
      </w:r>
      <w:r w:rsidR="00107A87">
        <w:rPr>
          <w:rFonts w:eastAsia="Times New Roman"/>
        </w:rPr>
        <w:t>.</w:t>
      </w:r>
    </w:p>
    <w:p w14:paraId="6155D8B1" w14:textId="77777777" w:rsidR="00107A87" w:rsidRDefault="004B40CC" w:rsidP="00D2239F">
      <w:pPr>
        <w:numPr>
          <w:ilvl w:val="0"/>
          <w:numId w:val="4"/>
        </w:numPr>
        <w:spacing w:after="160" w:line="252" w:lineRule="auto"/>
        <w:contextualSpacing/>
      </w:pPr>
      <w:r>
        <w:t xml:space="preserve">Nest the third-party probe among the product being stored.  This is consistent with the CDC guidelines to “place the buffered probe of the digital data logger in the center of the unit with vaccines surrounding </w:t>
      </w:r>
      <w:proofErr w:type="gramStart"/>
      <w:r>
        <w:t>it”</w:t>
      </w:r>
      <w:r w:rsidR="00107A87">
        <w:t>*</w:t>
      </w:r>
      <w:proofErr w:type="gramEnd"/>
      <w:r>
        <w:t xml:space="preserve"> (CDC </w:t>
      </w:r>
      <w:r w:rsidR="008357CF">
        <w:t xml:space="preserve">Vaccine Storage and Handling </w:t>
      </w:r>
      <w:r>
        <w:t>Tool Kit, page 25</w:t>
      </w:r>
      <w:r w:rsidR="00107A87">
        <w:t>)</w:t>
      </w:r>
    </w:p>
    <w:p w14:paraId="3566E208" w14:textId="77777777" w:rsidR="00107A87" w:rsidRPr="00107A87" w:rsidRDefault="004B40CC" w:rsidP="006E4941">
      <w:pPr>
        <w:numPr>
          <w:ilvl w:val="0"/>
          <w:numId w:val="4"/>
        </w:numPr>
        <w:spacing w:after="160" w:line="252" w:lineRule="auto"/>
        <w:contextualSpacing/>
        <w:rPr>
          <w:rFonts w:eastAsia="Times New Roman"/>
        </w:rPr>
      </w:pPr>
      <w:r>
        <w:t>Nest the product being stored together</w:t>
      </w:r>
      <w:r w:rsidR="00214575">
        <w:t xml:space="preserve">.  This is consistent with the CDC guidelines to “always store vaccines in their original packaging with lids closed” and “never store loose vials or manufacturer-filled syringes outside of their packaging* (CDC </w:t>
      </w:r>
      <w:r w:rsidR="008357CF">
        <w:t xml:space="preserve">Vaccine Storage and Handling </w:t>
      </w:r>
      <w:r w:rsidR="00214575">
        <w:t>Tool Kit, page 22)</w:t>
      </w:r>
    </w:p>
    <w:p w14:paraId="46FA1DAE" w14:textId="77777777" w:rsidR="004B40CC" w:rsidRDefault="004B40CC" w:rsidP="00FF5E25">
      <w:pPr>
        <w:numPr>
          <w:ilvl w:val="0"/>
          <w:numId w:val="4"/>
        </w:numPr>
        <w:spacing w:after="160" w:line="252" w:lineRule="auto"/>
        <w:contextualSpacing/>
        <w:rPr>
          <w:rFonts w:eastAsia="Times New Roman"/>
        </w:rPr>
      </w:pPr>
      <w:r w:rsidRPr="00107A87">
        <w:rPr>
          <w:rFonts w:eastAsia="Times New Roman"/>
        </w:rPr>
        <w:t>If the temperature difference is</w:t>
      </w:r>
      <w:r w:rsidR="00107A87">
        <w:rPr>
          <w:rFonts w:eastAsia="Times New Roman"/>
        </w:rPr>
        <w:t xml:space="preserve"> within</w:t>
      </w:r>
      <w:r w:rsidRPr="00107A87">
        <w:rPr>
          <w:rFonts w:eastAsia="Times New Roman"/>
        </w:rPr>
        <w:t xml:space="preserve"> +/- 1</w:t>
      </w:r>
      <w:r w:rsidRPr="00107A87">
        <w:rPr>
          <w:rFonts w:eastAsia="Times New Roman"/>
          <w:vertAlign w:val="superscript"/>
        </w:rPr>
        <w:t>o</w:t>
      </w:r>
      <w:r w:rsidRPr="00107A87">
        <w:rPr>
          <w:rFonts w:eastAsia="Times New Roman"/>
        </w:rPr>
        <w:t xml:space="preserve"> C, adjust the temperature of the Follett refrigerator to match the third-party probe and the unit will provide stable temperatures around the new </w:t>
      </w:r>
      <w:r w:rsidRPr="00107A87">
        <w:rPr>
          <w:rFonts w:eastAsia="Times New Roman"/>
        </w:rPr>
        <w:lastRenderedPageBreak/>
        <w:t>setting. Note that if there are differences in the bottle size or location, discrepancies between the Follett reading and the third-party probe reading may still occur. Before making any changes to factory-default settings, please contact the factory.</w:t>
      </w:r>
    </w:p>
    <w:p w14:paraId="04516EB6" w14:textId="77777777" w:rsidR="00107A87" w:rsidRDefault="00107A87" w:rsidP="00107A87">
      <w:pPr>
        <w:spacing w:after="160" w:line="252" w:lineRule="auto"/>
        <w:contextualSpacing/>
        <w:rPr>
          <w:rFonts w:eastAsia="Times New Roman"/>
        </w:rPr>
      </w:pPr>
    </w:p>
    <w:p w14:paraId="4310EF12" w14:textId="77777777" w:rsidR="008357CF" w:rsidRPr="00107A87" w:rsidRDefault="008357CF" w:rsidP="00107A87">
      <w:pPr>
        <w:rPr>
          <w:rFonts w:eastAsia="Times New Roman"/>
        </w:rPr>
      </w:pPr>
    </w:p>
    <w:p w14:paraId="7BB04CCB" w14:textId="77777777" w:rsidR="008357CF" w:rsidRPr="0007549C" w:rsidRDefault="008357CF" w:rsidP="008357CF">
      <w:pPr>
        <w:pStyle w:val="Default"/>
        <w:numPr>
          <w:ilvl w:val="0"/>
          <w:numId w:val="5"/>
        </w:numPr>
        <w:spacing w:before="120"/>
        <w:rPr>
          <w:rFonts w:ascii="Arial" w:hAnsi="Arial" w:cs="Arial"/>
          <w:color w:val="auto"/>
          <w:sz w:val="20"/>
          <w:szCs w:val="20"/>
        </w:rPr>
      </w:pPr>
      <w:r w:rsidRPr="0007549C">
        <w:rPr>
          <w:rFonts w:ascii="Arial" w:hAnsi="Arial" w:cs="Arial"/>
          <w:color w:val="auto"/>
          <w:sz w:val="20"/>
          <w:szCs w:val="20"/>
        </w:rPr>
        <w:t xml:space="preserve">Vaccine Storage &amp; Handling Toolkit; CDC; </w:t>
      </w:r>
      <w:r>
        <w:rPr>
          <w:rFonts w:ascii="Arial" w:hAnsi="Arial" w:cs="Arial"/>
          <w:color w:val="auto"/>
          <w:sz w:val="20"/>
          <w:szCs w:val="20"/>
        </w:rPr>
        <w:t>January 2018</w:t>
      </w:r>
      <w:r w:rsidRPr="0007549C">
        <w:rPr>
          <w:rFonts w:ascii="Arial" w:hAnsi="Arial" w:cs="Arial"/>
          <w:color w:val="auto"/>
          <w:sz w:val="20"/>
          <w:szCs w:val="20"/>
        </w:rPr>
        <w:t xml:space="preserve">; pp. </w:t>
      </w:r>
      <w:r>
        <w:rPr>
          <w:rFonts w:ascii="Arial" w:hAnsi="Arial" w:cs="Arial"/>
          <w:color w:val="auto"/>
          <w:sz w:val="20"/>
          <w:szCs w:val="20"/>
        </w:rPr>
        <w:t xml:space="preserve">14-30 </w:t>
      </w:r>
      <w:hyperlink r:id="rId5" w:history="1">
        <w:r w:rsidRPr="002B5FF6">
          <w:rPr>
            <w:rStyle w:val="Hyperlink"/>
            <w:rFonts w:ascii="Arial" w:hAnsi="Arial" w:cs="Arial"/>
            <w:sz w:val="20"/>
            <w:szCs w:val="20"/>
          </w:rPr>
          <w:t>http://www.cdc</w:t>
        </w:r>
        <w:bookmarkStart w:id="0" w:name="_GoBack"/>
        <w:bookmarkEnd w:id="0"/>
        <w:r w:rsidRPr="002B5FF6">
          <w:rPr>
            <w:rStyle w:val="Hyperlink"/>
            <w:rFonts w:ascii="Arial" w:hAnsi="Arial" w:cs="Arial"/>
            <w:sz w:val="20"/>
            <w:szCs w:val="20"/>
          </w:rPr>
          <w:t>.</w:t>
        </w:r>
        <w:r w:rsidRPr="002B5FF6">
          <w:rPr>
            <w:rStyle w:val="Hyperlink"/>
            <w:rFonts w:ascii="Arial" w:hAnsi="Arial" w:cs="Arial"/>
            <w:sz w:val="20"/>
            <w:szCs w:val="20"/>
          </w:rPr>
          <w:t>gov/vaccines/hcp/admin/storage/toolkit/storage-handling-toolkit.pdf</w:t>
        </w:r>
      </w:hyperlink>
    </w:p>
    <w:p w14:paraId="357EFDFC" w14:textId="77777777" w:rsidR="009E61F8" w:rsidRDefault="009E61F8" w:rsidP="004B40CC">
      <w:pPr>
        <w:spacing w:after="120"/>
      </w:pPr>
    </w:p>
    <w:p w14:paraId="63E2784C" w14:textId="77777777" w:rsidR="00F86AC8" w:rsidRDefault="00F86AC8" w:rsidP="004B40CC">
      <w:pPr>
        <w:spacing w:after="120" w:line="252" w:lineRule="auto"/>
      </w:pPr>
    </w:p>
    <w:sectPr w:rsidR="00F8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30C"/>
    <w:multiLevelType w:val="hybridMultilevel"/>
    <w:tmpl w:val="7C72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47B98"/>
    <w:multiLevelType w:val="hybridMultilevel"/>
    <w:tmpl w:val="7B3E7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05EF3"/>
    <w:multiLevelType w:val="hybridMultilevel"/>
    <w:tmpl w:val="BE6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F6A34"/>
    <w:multiLevelType w:val="hybridMultilevel"/>
    <w:tmpl w:val="A1D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F9"/>
    <w:rsid w:val="000251A4"/>
    <w:rsid w:val="000263CF"/>
    <w:rsid w:val="00082708"/>
    <w:rsid w:val="000E6E74"/>
    <w:rsid w:val="000F7C41"/>
    <w:rsid w:val="00107A87"/>
    <w:rsid w:val="00214575"/>
    <w:rsid w:val="002A4129"/>
    <w:rsid w:val="002C21E3"/>
    <w:rsid w:val="003414DE"/>
    <w:rsid w:val="00387BED"/>
    <w:rsid w:val="003A670C"/>
    <w:rsid w:val="004B40CC"/>
    <w:rsid w:val="00555C84"/>
    <w:rsid w:val="0061163D"/>
    <w:rsid w:val="00733324"/>
    <w:rsid w:val="008357CF"/>
    <w:rsid w:val="008576AF"/>
    <w:rsid w:val="00874D28"/>
    <w:rsid w:val="008D5D37"/>
    <w:rsid w:val="00977ACD"/>
    <w:rsid w:val="009E61F8"/>
    <w:rsid w:val="00A05DF9"/>
    <w:rsid w:val="00A9422A"/>
    <w:rsid w:val="00AB20B2"/>
    <w:rsid w:val="00B3591A"/>
    <w:rsid w:val="00B916CE"/>
    <w:rsid w:val="00B9760F"/>
    <w:rsid w:val="00C32B4B"/>
    <w:rsid w:val="00DF0B28"/>
    <w:rsid w:val="00E766BB"/>
    <w:rsid w:val="00EF5AAB"/>
    <w:rsid w:val="00F013B4"/>
    <w:rsid w:val="00F8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429"/>
  <w15:chartTrackingRefBased/>
  <w15:docId w15:val="{9E86D3DC-FFBD-44B1-858A-8D79BDDE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DF9"/>
    <w:rPr>
      <w:color w:val="0563C1"/>
      <w:u w:val="single"/>
    </w:rPr>
  </w:style>
  <w:style w:type="paragraph" w:styleId="ListParagraph">
    <w:name w:val="List Paragraph"/>
    <w:basedOn w:val="Normal"/>
    <w:uiPriority w:val="34"/>
    <w:qFormat/>
    <w:rsid w:val="00A05DF9"/>
    <w:pPr>
      <w:spacing w:after="160" w:line="252" w:lineRule="auto"/>
      <w:ind w:left="720"/>
      <w:contextualSpacing/>
    </w:pPr>
  </w:style>
  <w:style w:type="paragraph" w:styleId="BalloonText">
    <w:name w:val="Balloon Text"/>
    <w:basedOn w:val="Normal"/>
    <w:link w:val="BalloonTextChar"/>
    <w:uiPriority w:val="99"/>
    <w:semiHidden/>
    <w:unhideWhenUsed/>
    <w:rsid w:val="000E6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74"/>
    <w:rPr>
      <w:rFonts w:ascii="Segoe UI" w:hAnsi="Segoe UI" w:cs="Segoe UI"/>
      <w:sz w:val="18"/>
      <w:szCs w:val="18"/>
    </w:rPr>
  </w:style>
  <w:style w:type="paragraph" w:customStyle="1" w:styleId="Default">
    <w:name w:val="Default"/>
    <w:rsid w:val="008357C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vaccines/hcp/admin/storage/toolkit/storage-handling-toolk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Rice</dc:creator>
  <cp:keywords/>
  <dc:description/>
  <cp:lastModifiedBy>Cindy Fitton</cp:lastModifiedBy>
  <cp:revision>4</cp:revision>
  <dcterms:created xsi:type="dcterms:W3CDTF">2018-02-26T14:47:00Z</dcterms:created>
  <dcterms:modified xsi:type="dcterms:W3CDTF">2018-03-02T15:49:00Z</dcterms:modified>
</cp:coreProperties>
</file>